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SektVO 2016 — Bekanntmachung über das Bestehen eines Qualifizierungssystems</w:t>
      </w:r>
    </w:p>
    <w:p>
      <w:r>
        <w:rPr>
          <w:color w:val="555555"/>
          <w:sz w:val="18"/>
        </w:rPr>
        <w:t xml:space="preserve">Sektorenverordnung</w:t>
      </w:r>
    </w:p>
    <w:p>
      <w:r>
        <w:rPr>
          <w:color w:val="555555"/>
          <w:sz w:val="18"/>
        </w:rPr>
        <w:t xml:space="preserve">Stand: 24.08.2023 (konsolidierte Textfassung, kein amtliches Inkrafttretensdatum)</w:t>
      </w:r>
    </w:p>
    <w:p>
      <w:r>
        <w:t xml:space="preserve">(1) Der Auftraggeber kann die Absicht einer Auftragsvergabe mittels der Bekanntmachung über das Bestehen eines Qualifizierungssystems bekanntmachen.</w:t>
      </w:r>
    </w:p>
    <w:p>
      <w:r>
        <w:t xml:space="preserve">(2) Die Bekanntmachung über das Bestehen eines Qualifizierungssystems wird nach den Vorgaben der Spalte 15 der Tabelle 2 des Anhangs der Durchführungsverordnung (EU) 2019/1780 in Verbindung mit § 10a erstellt. Der Auftraggeber gibt in der Bekanntmachung den Zweck und die Gültigkeitsdauer des Systems an.</w:t>
      </w:r>
    </w:p>
    <w:p>
      <w:r>
        <w:t xml:space="preserve">(3) Bekanntmachungen über Änderungen der Gültigkeitsdauer, ohne das System zu ändern oder die Beendigung des Systems, erfolgen nach den Vorgaben der Spalte 39 der Tabelle 2 des Anhangs der Durchführungsverordnung (EU) 2019/1780 in Verbindung mit § 10a.</w:t>
      </w:r>
    </w:p>
    <w:p>
      <w:r>
        <w:rPr>
          <w:color w:val="555555"/>
          <w:sz w:val="17"/>
        </w:rPr>
        <w:t xml:space="preserve">Zitiervorschlag: § 37 SektVO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https://recht.nulegal.eu/gesetze/SektVO%202016/37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