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SektVO 2016 — Nachweisführung durch Gütezeichen</w:t>
      </w:r>
    </w:p>
    <w:p>
      <w:r>
        <w:rPr>
          <w:color w:val="555555"/>
          <w:sz w:val="18"/>
        </w:rPr>
        <w:t xml:space="preserve">Sektorenverordnung</w:t>
      </w:r>
    </w:p>
    <w:p>
      <w:r>
        <w:rPr>
          <w:color w:val="555555"/>
          <w:sz w:val="18"/>
        </w:rPr>
        <w:t xml:space="preserve">Stand: 10.06.2019 (konsolidierte Textfassung, kein amtliches Inkrafttretensdatum)</w:t>
      </w:r>
    </w:p>
    <w:p>
      <w:r>
        <w:t xml:space="preserve">(1) Als Beleg dafür, dass eine Leistung bestimmten, in der Leistungsbeschreibung geforderten Merkmalen entspricht, kann der Auftraggeber die Vorlage von Gütezeichen nach Maßgabe der Absätze 2 bis 5 verlangen.</w:t>
      </w:r>
    </w:p>
    <w:p>
      <w:r>
        <w:t xml:space="preserve">(2) Das Gütezeichen muss allen folgenden Bedingungen genügen:</w:t>
      </w:r>
    </w:p>
    <w:p>
      <w:pPr>
        <w:ind w:left="420"/>
      </w:pPr>
      <w:r>
        <w:t xml:space="preserve">1. Alle Anforderungen des Gütezeichens sind für die Bestimmung der Merkmale der Leistung geeignet und stehen mit dem Auftragsgegenstand nach § 28 Absatz 3 in Verbindung.</w:t>
      </w:r>
    </w:p>
    <w:p>
      <w:pPr>
        <w:ind w:left="420"/>
      </w:pPr>
      <w:r>
        <w:t xml:space="preserve">2. Die Anforderungen des Gütezeichens beruhen auf objektiv nachprüfbaren und nichtdiskriminierenden Kriterien.</w:t>
      </w:r>
    </w:p>
    <w:p>
      <w:pPr>
        <w:ind w:left="420"/>
      </w:pPr>
      <w:r>
        <w:t xml:space="preserve">3. Das Gütezeichen wurde im Rahmen eines offenen und transparenten Verfahrens entwickelt, an dem alle interessierten Kreise teilnehmen können.</w:t>
      </w:r>
    </w:p>
    <w:p>
      <w:pPr>
        <w:ind w:left="420"/>
      </w:pPr>
      <w:r>
        <w:t xml:space="preserve">4. Alle betroffenen Unternehmen müssen Zugang zum Gütezeichen haben.</w:t>
      </w:r>
    </w:p>
    <w:p>
      <w:pPr>
        <w:ind w:left="420"/>
      </w:pPr>
      <w:r>
        <w:t xml:space="preserve">5. Die Anforderungen wurden von einem Dritten festgelegt, auf den das Unternehmen, das das Gütezeichen erwirbt, keinen maßgeblichen Einfluss ausüben konnte.</w:t>
      </w:r>
    </w:p>
    <w:p>
      <w:r>
        <w:t xml:space="preserve">(3) Für den Fall, dass die Leistung nicht allen Anforderungen des Gütezeichens entsprechen muss, hat der Auftraggeber die betreffenden Anforderungen anzugeben.</w:t>
      </w:r>
    </w:p>
    <w:p>
      <w:r>
        <w:t xml:space="preserve">(4) Der Auftraggeber muss andere Gütezeichen akzeptieren, die gleichwertige Anforderungen an die Leistung stellen.</w:t>
      </w:r>
    </w:p>
    <w:p>
      <w:r>
        <w:t xml:space="preserve">(5) Hatte ein Unternehmen aus Gründen, die ihm nicht zugerechnet werden können, nachweislich keine Möglichkeit, das vom Auftraggeber angegebene oder ein gleichwertiges Gütezeichen innerhalb einer einschlägigen Frist zu erlangen, so muss der Auftraggeber andere geeignete Belege akzeptieren, sofern das Unternehmen nachweist, dass die von ihm zu erbringende Leistung die Anforderungen des geforderten Gütezeichens oder die vom Auftraggeber angegebenen spezifischen Anforderungen erfüllt.</w:t>
      </w:r>
    </w:p>
    <w:p>
      <w:r>
        <w:rPr>
          <w:color w:val="555555"/>
          <w:sz w:val="17"/>
        </w:rPr>
        <w:t xml:space="preserve">Zitiervorschlag: § 32 SektVO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https://recht.nulegal.eu/gesetze/SektVO%202016/32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