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SektVO 2016 — Markterkundung</w:t>
      </w:r>
    </w:p>
    <w:p>
      <w:r>
        <w:rPr>
          <w:color w:val="555555"/>
          <w:sz w:val="18"/>
        </w:rPr>
        <w:t xml:space="preserve">Sektorenverordnung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Vor der Einleitung eines Vergabeverfahrens darf der Auftraggeber eine Markterkundung zur Vorbereitung der Auftragsvergabe und zur Unterrichtung der Marktteilnehmer über seine Auftragsvergabepläne und -anforderungen durchführen. Die Markterkundung kann auch umweltbezogene und soziale Aspekte sowie Aspekte der Qualität und Innovation umfassen und auch elektronisch durchgeführt werden.</w:t>
      </w:r>
    </w:p>
    <w:p>
      <w:r>
        <w:t xml:space="preserve">(2) Die Durchführung von Vergabeverfahren lediglich zur Markterkundung und zum Zwecke der Kosten- oder Preisermittlung ist unzulässig.</w:t>
      </w:r>
    </w:p>
    <w:p>
      <w:r>
        <w:rPr>
          <w:color w:val="555555"/>
          <w:sz w:val="17"/>
        </w:rPr>
        <w:t xml:space="preserve">Zitiervorschlag: § 26 SektVO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https://recht.nulegal.eu/gesetze/SektVO%202016/26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