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SektVO 2016 — Grundsätze für die Durchführung elektronischer Auktionen</w:t>
      </w:r>
    </w:p>
    <w:p>
      <w:r>
        <w:rPr>
          <w:color w:val="555555"/>
          <w:sz w:val="18"/>
        </w:rPr>
        <w:t xml:space="preserve">Sektorenverordnung</w:t>
      </w:r>
    </w:p>
    <w:p>
      <w:r>
        <w:rPr>
          <w:color w:val="555555"/>
          <w:sz w:val="18"/>
        </w:rPr>
        <w:t xml:space="preserve">Stand: 10.06.2019 (konsolidierte Textfassung, kein amtliches Inkrafttretensdatum)</w:t>
      </w:r>
    </w:p>
    <w:p>
      <w:r>
        <w:t xml:space="preserve">(1) Der Auftraggeber kann im Rahmen eines offenen, eines nicht offenen oder eines Verhandlungsverfahrens vor der Zuschlagserteilung eine elektronische Auktion durchführen, sofern der Inhalt der Vergabeunterlagen hinreichend präzise beschrieben und die Leistung mithilfe automatischer Bewertungsmethoden eingestuft werden kann. Geistig-schöpferische Leistungen können nicht Gegenstand elektronischer Auktionen sein. Der elektronischen Auktion hat eine vollständige erste Bewertung aller Angebote anhand der Zuschlagskriterien und der jeweils dafür festgelegten Gewichtung vorauszugehen. Die Sätze 1 und 2 gelten entsprechend bei einem erneuten Vergabeverfahren zwischen den Parteien einer Rahmenvereinbarung nach § 19 und bei einem erneuten Vergabeverfahren während der Laufzeit eines dynamischen Beschaffungssystems nach § 20. Eine elektronische Auktion kann mehrere, aufeinanderfolgende Phasen umfassen.</w:t>
      </w:r>
    </w:p>
    <w:p>
      <w:r>
        <w:t xml:space="preserve">(2) Im Rahmen der elektronischen Auktion werden die Angebote mittels festgelegter Methoden elektronisch bewertet und automatisch in eine Rangfolge gebracht. Die sich schrittweise wiederholende, elektronische Bewertung der Angebote beruht auf</w:t>
      </w:r>
    </w:p>
    <w:p>
      <w:pPr>
        <w:ind w:left="420"/>
      </w:pPr>
      <w:r>
        <w:t xml:space="preserve">1. neuen, nach unten korrigierten Preisen, wenn der Zuschlag allein aufgrund des Preises erfolgt, oder</w:t>
      </w:r>
    </w:p>
    <w:p>
      <w:pPr>
        <w:ind w:left="420"/>
      </w:pPr>
      <w:r>
        <w:t xml:space="preserve">2. neuen, nach unten korrigierten Preisen oder neuen, auf bestimmte Angebotskomponenten abstellenden Werten, wenn das Angebot mit dem besten Preis-Leistungs-Verhältnis oder, bei Verwendung eines Kosten-Wirksamkeits-Ansatzes, mit den niedrigsten Kosten den Zuschlag erhält.</w:t>
      </w:r>
    </w:p>
    <w:p>
      <w:r>
        <w:t xml:space="preserve">(3) Die Bewertungsmethoden werden mittels einer mathematischen Formel definiert und in der Aufforderung zur Teilnahme an der elektronischen Auktion bekanntgemacht. Wird der Zuschlag nicht allein aufgrund des Preises erteilt, muss aus der mathematischen Formel auch die Gewichtung aller Angebotskomponenten nach Absatz 2 Satz 2 Nummer 2 hervorgehen. Sind Nebenangebote zugelassen, ist für diese ebenfalls eine mathematische Formel bekanntzumachen.</w:t>
      </w:r>
    </w:p>
    <w:p>
      <w:r>
        <w:t xml:space="preserve">(4) Angebotskomponenten nach Absatz 2 Satz 2 Nummer 2 müssen numerisch oder prozentual beschrieben werden.</w:t>
      </w:r>
    </w:p>
    <w:p>
      <w:r>
        <w:rPr>
          <w:color w:val="555555"/>
          <w:sz w:val="17"/>
        </w:rPr>
        <w:t xml:space="preserve">Zitiervorschlag: § 23 SektVO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https://recht.nulegal.eu/gesetze/SektVO%202016/23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