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SektVO 2016 — Betrieb eines dynamischen Beschaffungssystems</w:t>
      </w:r>
    </w:p>
    <w:p>
      <w:r>
        <w:rPr>
          <w:color w:val="555555"/>
          <w:sz w:val="18"/>
        </w:rPr>
        <w:t xml:space="preserve">Sektorenverordnung</w:t>
      </w:r>
    </w:p>
    <w:p>
      <w:r>
        <w:rPr>
          <w:color w:val="555555"/>
          <w:sz w:val="18"/>
        </w:rPr>
        <w:t xml:space="preserve">Stand: 24.08.2023 (konsolidierte Textfassung, kein amtliches Inkrafttretensdatum)</w:t>
      </w:r>
    </w:p>
    <w:p>
      <w:r>
        <w:t xml:space="preserve">(1) Der Auftraggeber gibt in der Auftragsbekanntmachung an, dass er ein dynamisches Beschaffungssystem nutzt und für welchen Zeitraum es betrieben wird.</w:t>
      </w:r>
    </w:p>
    <w:p>
      <w:r>
        <w:t xml:space="preserve">(2) Auftraggeber informieren die Europäische Kommission wie folgt über eine Änderung der Gültigkeitsdauer:</w:t>
      </w:r>
    </w:p>
    <w:p>
      <w:pPr>
        <w:ind w:left="420"/>
      </w:pPr>
      <w:r>
        <w:t xml:space="preserve">1. Wird die Gültigkeitsdauer ohne Einstellung des dynamischen Beschaffungssystems geändert, erfolgt dies nach den Vorgaben der Spalte 39 der Tabelle 2 des Anhangs der Durchführungsverordnung (EU) 2019/1780 in Verbindung mit § 10a.</w:t>
      </w:r>
    </w:p>
    <w:p>
      <w:pPr>
        <w:ind w:left="420"/>
      </w:pPr>
      <w:r>
        <w:t xml:space="preserve">2. Wird das dynamische Beschaffungssystem eingestellt, erfolgt dies nach den Vorgaben der Spalte 30 der Tabelle 2 des Anhangs der Durchführungsverordnung (EU) 2019/1780 in Verbindung mit § 10a.</w:t>
      </w:r>
    </w:p>
    <w:p>
      <w:r>
        <w:t xml:space="preserve">(3) In den Vergabeunterlagen sind mindestens die Art und die geschätzte Menge der zu beschaffenden Leistung sowie alle erforderlichen Daten des dynamischen Beschaffungssystems anzugeben.</w:t>
      </w:r>
    </w:p>
    <w:p>
      <w:r>
        <w:t xml:space="preserve">(4) In den Vergabeunterlagen ist anzugeben, ob ein dynamisches Beschaffungssystem in Kategorien von Leistungen untergliedert wurde. Gegebenenfalls sind die objektiven Merkmale jeder Kategorie anzugeben.</w:t>
      </w:r>
    </w:p>
    <w:p>
      <w:r>
        <w:t xml:space="preserve">(5) Hat ein Auftraggeber ein dynamisches Beschaffungssystem in Kategorien von Leistungen untergliedert, legt er für jede Kategorie die Eignungskriterien gesondert fest.</w:t>
      </w:r>
    </w:p>
    <w:p>
      <w:r>
        <w:t xml:space="preserve">(6) Die zugelassenen Bewerber sind für jede einzelne, über ein dynamisches Beschaffungssystem stattfindende Auftragsvergabe gesondert zur Angebotsabgabe aufzufordern. Wurde ein dynamisches Beschaffungssystem in Kategorien von Leistungen untergliedert, werden jeweils alle für die einem konkreten Auftrag entsprechende Kategorie zugelassenen Bewerber aufgefordert, ein Angebot zu unterbreiten.</w:t>
      </w:r>
    </w:p>
    <w:p>
      <w:r>
        <w:rPr>
          <w:color w:val="555555"/>
          <w:sz w:val="17"/>
        </w:rPr>
        <w:t xml:space="preserve">Zitiervorschlag: § 21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