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SekG 2017 — Übergangsvorschrift</w:t>
      </w:r>
    </w:p>
    <w:p>
      <w:r>
        <w:rPr>
          <w:color w:val="555555"/>
          <w:sz w:val="18"/>
        </w:rPr>
        <w:t xml:space="preserve">Sekundierungsgesetz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Sekundierungsverträge, die vor dem Inkrafttreten dieses Gesetzes begründet wurden, ist das Sekundierungsgesetz vom 17. Juli 2009 (BGBl. I S. 1974), das durch Artikel 16 des Gesetzes vom 20. Dezember 2011 (BGBl. I S. 2854) geändert worden ist, in der bis zum Inkrafttreten dieses Gesetzes geltenden Fassung weiter anzuwenden.</w:t>
      </w:r>
    </w:p>
    <w:p>
      <w:r>
        <w:rPr>
          <w:color w:val="555555"/>
          <w:sz w:val="17"/>
        </w:rPr>
        <w:t xml:space="preserve">Zitiervorschlag: § 12 SekG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https://recht.nulegal.eu/gesetze/SekG%202017/12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