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SekG 2017 — Entgeltersatzleistungen der Arbeitsförderung</w:t>
      </w:r>
    </w:p>
    <w:p>
      <w:r>
        <w:rPr>
          <w:color w:val="555555"/>
          <w:sz w:val="18"/>
        </w:rPr>
        <w:t xml:space="preserve">Sekundierungsgesetz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einen Anspruch auf Leistungen nach dem Dritten Buch Sozialgesetzbuch steht der Zeitraum einer Sekundierung der Zeit eines Versicherungspflichtverhältnisses nach dem Recht der Arbeitsförderung gleich.</w:t>
      </w:r>
    </w:p>
    <w:p>
      <w:r>
        <w:t xml:space="preserve">(2) Bei der Feststellung des für die Bemessung des Arbeitslosengeldes maßgebenden Arbeitsentgelts ist für den Zeitraum der Sekundierung auf Grund</w:t>
      </w:r>
    </w:p>
    <w:p>
      <w:pPr>
        <w:ind w:left="420"/>
      </w:pPr>
      <w:r>
        <w:t xml:space="preserve">1. eines Arbeitsvertrags das darin vereinbarte Grundgehalt, höchstens bis zu einem Arbeitsentgelt in Höhe der Beitragsbemessungsgrenze der allgemeinen Rentenversicherung, mindestens jedoch das fiktive Arbeitsentgelt nach § 152 des Dritten Buches Sozialgesetzbuch, zugrunde zu legen,</w:t>
      </w:r>
    </w:p>
    <w:p>
      <w:pPr>
        <w:ind w:left="420"/>
      </w:pPr>
      <w:r>
        <w:t xml:space="preserve">2. eines Sekundierungsvertrags das fiktive Arbeitsentgelt nach § 152 des Dritten Buches Sozialgesetzbuch zugrunde zu legen.</w:t>
      </w:r>
    </w:p>
    <w:p>
      <w:r>
        <w:t xml:space="preserve">(3) Mehraufwendungen, die der Bundesagentur für Arbeit durch die Regelung entstehen, erstattet die sekundierende Einrichtung. Verwaltungskosten werden nicht erstattet. Schließt ein Dritter nach § 4 den Vertrag, so hat er Rückstellungen für mögliche Erstattungen zu bilden.</w:t>
      </w:r>
    </w:p>
    <w:p>
      <w:r>
        <w:rPr>
          <w:color w:val="555555"/>
          <w:sz w:val="17"/>
        </w:rPr>
        <w:t xml:space="preserve">Zitiervorschlag: § 11 SekG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https://recht.nulegal.eu/gesetze/SekG%202017/11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