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Sek I-V (Brandenburg) — Besondere Aufnahmeverfahren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Für die Aufnahme an Spezialschulen und in Spezialklassen gilt das auf die besondere Prägung der Schule bezogene Aufnahmeverfahren (besonderes Aufnahmeverfahren), sofern mit der Genehmigung des für Schule zuständigen Ministeriums gemäß § 8a des Brandenburgischen Schulgesetzes Veränderungen oder Ergänzungen des Aufnahmeverfahrens geregelt wurden. Wurden mit der Genehmigung des für Schule zuständigen Ministeriums gemäß § 8a des Brandenburgischen Schulgesetzes keine Veränderungen oder Ergänzungen des Aufnahmeverfahrens geregelt, gelten für die Aufnahme die Bestimmungen dieser Verordnung.</w:t>
      </w:r>
    </w:p>
    <w:p>
      <w:r>
        <w:t xml:space="preserve">(2) Im Übrigen sind die Bestimmungen dieser Verordnung entsprechend anzuwenden.</w:t>
      </w:r>
    </w:p>
    <w:p>
      <w:r>
        <w:rPr>
          <w:color w:val="555555"/>
          <w:sz w:val="17"/>
        </w:rPr>
        <w:t xml:space="preserve">Zitiervorschlag: § 8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Sek I-V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