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Sek I-V (Brandenburg) — Abschlüsse, Zeugnisse</w:t>
      </w:r>
    </w:p>
    <w:p>
      <w:r>
        <w:rPr>
          <w:color w:val="555555"/>
          <w:sz w:val="18"/>
        </w:rPr>
        <w:t xml:space="preserve">Sekundarstufe I-Verordnung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Klassenkonferenz der Stammschule entscheidet über die Versetzung und den Erwerb von Abschlüssen auf der Grundlage der Bestimmungen dieser Verordnung und unter Berücksichtigung der individuellen Schullaufbahn der Schülerinnen und Schüler.</w:t>
      </w:r>
    </w:p>
    <w:p>
      <w:r>
        <w:t xml:space="preserve">(2) Das Halbjahreszeugnis für Kinder von beruflich Reisenden kann auf Wunsch der Eltern und Beschluss der Klassenkonferenz am Ende des Aufenthalts im Winterquartier, jedoch spätestens Ende März, ausgestellt werden.</w:t>
      </w:r>
    </w:p>
    <w:p>
      <w:r>
        <w:rPr>
          <w:color w:val="555555"/>
          <w:sz w:val="17"/>
        </w:rPr>
        <w:t xml:space="preserve">Zitiervorschlag: § 20 Sek I-V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https://recht.nulegal.eu/gesetze/Sek%20I-V/20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