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SeilbV (Bayern) — Versicherungspflicht</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Mindesthöhe der Deckungssumme der Betriebshaftpflichtversicherung für Personenschäden des Seilbahnunternehmers gemäß Art. 21 BayESG muss ausreichend sein und bestimmt sich grundsätzlich nach der maximal zulässigen Besetzungszahl der Seilbahn in einer Fahrtrichtung; diese Zahl ergibt vervielfacht mit einem Betrag von mindestens 50 000 € die Deckungssumme für Personenschäden je Schadensereignis und muss für jede Versicherungsperiode mindestens zweimal zur Verfügung stehen. Diese Deckungssumme muss mindestens 2 000 000 € betragen.</w:t>
      </w:r>
    </w:p>
    <w:p>
      <w:r>
        <w:t xml:space="preserve">(2) Die Mindestdeckungssumme für Sachschäden muss jeweils 10 v.H. der im Abs. 1 genannten Summen betragen.</w:t>
      </w:r>
    </w:p>
    <w:p>
      <w:r>
        <w:t xml:space="preserve">(3) Der Nachweis über jeden Abschluss einer ausreichenden Betriebshaftpflichtversicherung ist vom Seilbahnunternehmer der Kreisverwaltungsbehörde vorzulegen.</w:t>
      </w:r>
    </w:p>
    <w:p>
      <w:r>
        <w:rPr>
          <w:color w:val="555555"/>
          <w:sz w:val="17"/>
        </w:rPr>
        <w:t xml:space="preserve">Zitiervorschlag: § 8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