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SeilbV (Bayern) — Betriebseröffnung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Zustimmung zur Eröffnung des Betriebs (Art. 17 Abs. 1 BayESG) ist vom Unternehmer bei der technischen Aufsichtsbehörde zu beantragen. Der Antrag hat zu enthalten:</w:t>
      </w:r>
    </w:p>
    <w:p>
      <w:r>
        <w:t xml:space="preserve">1. eine Prüfbescheinigung gemäß Art. 12 Abs. 3 BayESG über die Abnahme nach Art. 17 Abs. 2 Nr. 1 BayESG; bei der Abnahme sind insbesondere zu berücksichtigen:</w:t>
      </w:r>
    </w:p>
    <w:p>
      <w:r>
        <w:t xml:space="preserve">a) Werkszeugnisse, Prüfungs- und Werksbescheinigungen, Gewährleistungserklärungen sowie sonstige von der technischen Aufsichtsbehörde verlangte Begutachtungen; bei Seilschwebe- und Standseilbahnen eine Niederschrift über die Durchführung eines Probebetriebs unter allen Betriebsbedingungen;</w:t>
      </w:r>
    </w:p>
    <w:p>
      <w:r>
        <w:t xml:space="preserve">b) Nachweise im Zusammenhang mit dem vorbeugenden und abwehrenden Brandschutz in den Stationen, auf der Strecke und in den Fahrzeugen;</w:t>
      </w:r>
    </w:p>
    <w:p>
      <w:r>
        <w:t xml:space="preserve">c) Nachweise über entsprechende Sicherungsmaßnahmen bei Kreuzungen oder Näherungen mit Seilbahnen, Eisenbahnen, Straßen, Wegen und sonstigen Verkehrsanlagen, Wasserläufen, elektrischen Leitungen, Öl-, Gas- und Wasserleitungen;</w:t>
      </w:r>
    </w:p>
    <w:p>
      <w:r>
        <w:t xml:space="preserve">d) Nachweise über die Fertigstellung der nach anderen Vorschriften erstellten Bauten, z.B. Schutzbauten gegen Lawinen-, Steinschlag- und Wassergefahr;</w:t>
      </w:r>
    </w:p>
    <w:p>
      <w:r>
        <w:t xml:space="preserve">e) Nachweise über die Prüfung der überwachungsbedürftigen Anlagen gemäß § 2 Nr. 30 des Produktsicherheitsgesetzes (ProdSG) in Verbindung mit § 37 ProdSG;</w:t>
      </w:r>
    </w:p>
    <w:p>
      <w:r>
        <w:t xml:space="preserve">f) die Dienstvorschriften einschließlich der Angaben über die notwendigen Betriebsbedingungen und Betriebsbeschränkungen sowie der vollständigen Angaben im Hinblick auf Instandhaltung, Überwachung, Einstellungen und Wartung, Bergungsrichtlinien und die Brandschutzordnung (§ 6 Abs. 3);</w:t>
      </w:r>
    </w:p>
    <w:p>
      <w:r>
        <w:t xml:space="preserve">g) Nachweise über die Aufbewahrung folgender Unterlagen in Kopie bei der Anlage gemäß Art. 9 Abs. 2 Satz 1 der Verordnung (EU) 2016/424:</w:t>
      </w:r>
    </w:p>
    <w:p>
      <w:r>
        <w:t xml:space="preserve">aa) Sicherheitsanalyse mit entsprechendem Sicherheitsbericht,</w:t>
      </w:r>
    </w:p>
    <w:p>
      <w:r>
        <w:t xml:space="preserve">bb) EU-Konformitätserklärungen und</w:t>
      </w:r>
    </w:p>
    <w:p>
      <w:r>
        <w:t xml:space="preserve">cc) sonstige Unterlagen im Zusammenhang mit der Konformität der Teilsysteme und Sicherheitsbauteile;</w:t>
      </w:r>
    </w:p>
    <w:p>
      <w:r>
        <w:t xml:space="preserve">2. Nachweise durch Bestätigung der Kreisverwaltungsbehörde über die Erfüllung der Nebenbestimmungen der Bau- und Betriebsgenehmigung;</w:t>
      </w:r>
    </w:p>
    <w:p>
      <w:r>
        <w:t xml:space="preserve">3. Nachweise über die Erfüllung der Nebenbestimmungen der Genehmigung der technischen Planung;</w:t>
      </w:r>
    </w:p>
    <w:p>
      <w:r>
        <w:t xml:space="preserve">4. die Bestellung und Bestätigung eines Betriebsleiters und mindestens einer Person als Stellvertretung, sofern keine Ausnahme nach Art. 20 Abs. 4 BayESG zugelassen ist;</w:t>
      </w:r>
    </w:p>
    <w:p>
      <w:r>
        <w:t xml:space="preserve">5. die Bestätigung der Kreisverwaltungsbehörde über den Nachweis einer Haftpflichtversicherung oder der Mitgliedschaft in einer Versicherungsgemeinschaft (Art. 21 Abs. 1 BayESG, § 8).</w:t>
      </w:r>
    </w:p>
    <w:p>
      <w:r>
        <w:t xml:space="preserve">(2) Die Nachweise nach Abs. 1 Satz 2 Nrn. 1 bis 5 sind in einfacher Fertigung vorzulegen; die technische Aufsichtsbehörde kann Abweichendes bestimmen.</w:t>
      </w:r>
    </w:p>
    <w:p>
      <w:r>
        <w:t xml:space="preserve">(3) Für genehmigungspflichtige Änderungen der Anlage (Art. 17 Abs. 3 BayESG) gelten Abs. 1 und 2 entsprechend.</w:t>
      </w:r>
    </w:p>
    <w:p>
      <w:r>
        <w:rPr>
          <w:color w:val="555555"/>
          <w:sz w:val="17"/>
        </w:rPr>
        <w:t xml:space="preserve">Zitiervorschlag: § 5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