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SeilbV (Bayern) — Inkrafttreten, Übergangsvorschrift</w:t>
      </w:r>
    </w:p>
    <w:p>
      <w:r>
        <w:rPr>
          <w:color w:val="555555"/>
          <w:sz w:val="18"/>
        </w:rPr>
        <w:t xml:space="preserve">Seilbahnverordnung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2011 in Kraft.</w:t>
      </w:r>
    </w:p>
    <w:p>
      <w:r>
        <w:t xml:space="preserve">(2) Soweit Seilbahnen, Teilsysteme oder Sicherheitsbauteile den Übergangsbestimmungen des Art. 33 Abs. 2 und 3 BayESG unterliegen, gelten Verweisungen auf die Verordnung (EU) 2016/424 nach Maßgabe des Anhangs X der Verordnung (EU) 2016/424 als Verweisungen auf die Richtlinie 2000/9/EG.</w:t>
      </w:r>
    </w:p>
    <w:p>
      <w:r>
        <w:rPr>
          <w:color w:val="555555"/>
          <w:sz w:val="17"/>
        </w:rPr>
        <w:t xml:space="preserve">Zitiervorschlag: § 14 SeilbV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