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SeilbV (Bayern) — Bußgeldvorschriften</w:t>
      </w:r>
    </w:p>
    <w:p>
      <w:r>
        <w:rPr>
          <w:color w:val="555555"/>
          <w:sz w:val="18"/>
        </w:rPr>
        <w:t xml:space="preserve">Seilbahnverordnung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31 Abs. 2 Nr. 1 Buchst. c BayESG kann mit Geldbuße belegt werden, wer vorsätzlich oder fahrlässig</w:t>
      </w:r>
    </w:p>
    <w:p>
      <w:r>
        <w:t xml:space="preserve">1. einer vollziehbaren Anordnung nach § 12 Abs. 4 Satz 2 zuwiderhandelt,</w:t>
      </w:r>
    </w:p>
    <w:p>
      <w:r>
        <w:t xml:space="preserve">2. einem Auskunftsverlangen der zuständigen Behörden nach § 12 Abs. 4 Satz 2 nicht, nicht richtig oder nicht vollständig nachkommt oder</w:t>
      </w:r>
    </w:p>
    <w:p>
      <w:r>
        <w:t xml:space="preserve">3. einer unmittelbar geltenden Vorschrift in Rechtsakten der Europäischen Gemeinschaft oder der Europäischen Union zuwiderhandelt, die inhaltlich einem in Nr. 1 oder Nr. 2 bezeichneten Gebot oder Verbot entspricht.</w:t>
      </w:r>
    </w:p>
    <w:p>
      <w:r>
        <w:rPr>
          <w:color w:val="555555"/>
          <w:sz w:val="17"/>
        </w:rPr>
        <w:t xml:space="preserve">Zitiervorschlag: § 13 SeilbV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