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SeilbDGGebV</w:t>
      </w:r>
    </w:p>
    <w:p>
      <w:r>
        <w:rPr>
          <w:color w:val="555555"/>
          <w:sz w:val="18"/>
        </w:rPr>
        <w:t xml:space="preserve">Seilbahndurchführungsgesetzgebührenverordnung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22 Absatz 1 und 4 Satz 1 des Bundesgebührengesetzes vom 7. August 2013 (BGBl. I S. 3154) verordnet das Bundesministerium für Verkehr und digitale Infrastruktur:</w:t>
      </w:r>
    </w:p>
    <w:p>
      <w:r>
        <w:rPr>
          <w:color w:val="555555"/>
          <w:sz w:val="17"/>
        </w:rPr>
        <w:t xml:space="preserve">Zitiervorschlag: Eingangsformel SeilbDGGebV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https://recht.nulegal.eu/gesetze/SeilbDGGebV/eingangsformel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