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SeilbDGGebV — (zu § 1 Absatz 2)</w:t>
      </w:r>
    </w:p>
    <w:p>
      <w:r>
        <w:rPr>
          <w:color w:val="555555"/>
          <w:sz w:val="18"/>
        </w:rPr>
        <w:t xml:space="preserve">Seilbahndurchführungsgesetzgebührenverordnung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BAnz AT 25.9.2017 V1)</w:t>
      </w:r>
    </w:p>
    <w:p>
      <w:r>
        <w:rPr>
          <w:rFonts w:ascii="Courier New" w:hAnsi="Courier New"/>
          <w:sz w:val="17"/>
        </w:rPr>
        <w:t xml:space="preserve">Laufende Nummer    Gebührenpflichtige Tatbestände    Gebühr</w:t>
      </w:r>
    </w:p>
    <w:p>
      <w:r>
        <w:rPr>
          <w:rFonts w:ascii="Courier New" w:hAnsi="Courier New"/>
          <w:sz w:val="17"/>
        </w:rPr>
        <w:t xml:space="preserve">1    Verfahren nach § 1 SeilbDG    </w:t>
      </w:r>
    </w:p>
    <w:p>
      <w:r>
        <w:rPr>
          <w:rFonts w:ascii="Courier New" w:hAnsi="Courier New"/>
          <w:sz w:val="17"/>
        </w:rPr>
        <w:t xml:space="preserve">1.1    Befugnis und Notifizierung    500 bis 20 000 Euro</w:t>
      </w:r>
    </w:p>
    <w:p>
      <w:r>
        <w:rPr>
          <w:rFonts w:ascii="Courier New" w:hAnsi="Courier New"/>
          <w:sz w:val="17"/>
        </w:rPr>
        <w:t xml:space="preserve">1.2    Erneute Befugniserteilung und Notifizierung    500 bis 20 000 Euro</w:t>
      </w:r>
    </w:p>
    <w:p>
      <w:r>
        <w:rPr>
          <w:rFonts w:ascii="Courier New" w:hAnsi="Courier New"/>
          <w:sz w:val="17"/>
        </w:rPr>
        <w:t xml:space="preserve">1.3    Änderung einer Befugnis und Notifizierung    </w:t>
      </w:r>
    </w:p>
    <w:p>
      <w:r>
        <w:rPr>
          <w:rFonts w:ascii="Courier New" w:hAnsi="Courier New"/>
          <w:sz w:val="17"/>
        </w:rPr>
        <w:t xml:space="preserve">1.3.1    mit Begutachtung    500 bis 20 000 Euro</w:t>
      </w:r>
    </w:p>
    <w:p>
      <w:r>
        <w:rPr>
          <w:rFonts w:ascii="Courier New" w:hAnsi="Courier New"/>
          <w:sz w:val="17"/>
        </w:rPr>
        <w:t xml:space="preserve">1.3.2    ohne Begutachtung    250 bis 10 000 Euro</w:t>
      </w:r>
    </w:p>
    <w:p>
      <w:r>
        <w:rPr>
          <w:rFonts w:ascii="Courier New" w:hAnsi="Courier New"/>
          <w:sz w:val="17"/>
        </w:rPr>
        <w:t xml:space="preserve">1.4    Individuell zurechenbare öffentliche Leistungen im Rahmen des Befugniserteilungssystems einschließlich Beratung, Überwachung und Begutachtung vor Ort während der Dauer der Befugnis    250 bis 10 000 Euro</w:t>
      </w:r>
    </w:p>
    <w:p>
      <w:r>
        <w:rPr>
          <w:rFonts w:ascii="Courier New" w:hAnsi="Courier New"/>
          <w:sz w:val="17"/>
        </w:rPr>
        <w:t xml:space="preserve">2    Sonstige individuell zurechenbare öffentliche Leistungen    </w:t>
      </w:r>
    </w:p>
    <w:p>
      <w:r>
        <w:rPr>
          <w:rFonts w:ascii="Courier New" w:hAnsi="Courier New"/>
          <w:sz w:val="17"/>
        </w:rPr>
        <w:t xml:space="preserve">2.1    Im Zusammenhang mit einer Maßnahme nach der laufenden Nummer 1    100 bis 10 000 Euro</w:t>
      </w:r>
    </w:p>
    <w:p>
      <w:r>
        <w:rPr>
          <w:rFonts w:ascii="Courier New" w:hAnsi="Courier New"/>
          <w:sz w:val="17"/>
        </w:rPr>
        <w:t xml:space="preserve">2.2    Beantragtes Fachgespräch    bis zwei Stunden ohne Gebühr; darüber: 200 bis 800 Euro</w:t>
      </w:r>
    </w:p>
    <w:p>
      <w:r>
        <w:rPr>
          <w:color w:val="555555"/>
          <w:sz w:val="17"/>
        </w:rPr>
        <w:t xml:space="preserve">Zitiervorschlag: Anlage SeilbDGGebV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https://recht.nulegal.eu/gesetze/SeilbDGGebV/anlage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