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SeilbDGGebV — Inkrafttreten</w:t>
      </w:r>
    </w:p>
    <w:p>
      <w:r>
        <w:rPr>
          <w:color w:val="555555"/>
          <w:sz w:val="18"/>
        </w:rPr>
        <w:t xml:space="preserve">Seilbahndurchführungsgesetzgebührenverordnung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SeilbDGGebV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