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SeilbDGGebV — Auslagen</w:t>
      </w:r>
    </w:p>
    <w:p>
      <w:r>
        <w:rPr>
          <w:color w:val="555555"/>
          <w:sz w:val="18"/>
        </w:rPr>
        <w:t xml:space="preserve">Seilbahndurchführungsgesetzgebührenverordnung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Auslagen werden nach § 12 Absatz 1 des Bundesgebührengesetzes erhoben.</w:t>
      </w:r>
    </w:p>
    <w:p>
      <w:r>
        <w:rPr>
          <w:color w:val="555555"/>
          <w:sz w:val="17"/>
        </w:rPr>
        <w:t xml:space="preserve">Zitiervorschlag: § 2 SeilbDGGebV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https://recht.nulegal.eu/gesetze/SeilbDGGebV/2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