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SeilbDGGebV — Gebühren</w:t>
      </w:r>
    </w:p>
    <w:p>
      <w:r>
        <w:rPr>
          <w:color w:val="555555"/>
          <w:sz w:val="18"/>
        </w:rPr>
        <w:t xml:space="preserve">Seilbahndurchführungsgesetzgebührenverordnung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individuell zurechenbare öffentliche Leistungen der notifizierenden Behörde in Zusammenhang mit der Bewertung, Notifizierung, Überwachung und Befugniserteilung von Konformitätsbewertungsstellen im Seilbahnbereich werden von der notifizierenden Behörde im Sinne von § 1 des Seilbahndurchführungsgesetzes (SeilbDG) Gebühren und Auslagen nach dieser Verordnung erhoben.</w:t>
      </w:r>
    </w:p>
    <w:p>
      <w:r>
        <w:t xml:space="preserve">(2) Die gebührenpflichtigen Tatbestände und die Gebührensätze ergeben sich aus der Anlage zu dieser Verordnung.</w:t>
      </w:r>
    </w:p>
    <w:p>
      <w:r>
        <w:rPr>
          <w:color w:val="555555"/>
          <w:sz w:val="17"/>
        </w:rPr>
        <w:t xml:space="preserve">Zitiervorschlag: § 1 SeilbDGGebV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https://recht.nulegal.eu/gesetze/SeilbDGGebV/1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