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SeilbDG — Inkrafttreten</w:t>
      </w:r>
    </w:p>
    <w:p>
      <w:r>
        <w:rPr>
          <w:color w:val="555555"/>
          <w:sz w:val="18"/>
        </w:rPr>
        <w:t xml:space="preserve">Seilbahndurchführungsgesetz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1 bis 3 treten am Tag nach der Verkündung dieses Gesetzes in Kraft.</w:t>
      </w:r>
    </w:p>
    <w:p>
      <w:r>
        <w:t xml:space="preserve">(2) Die §§ 4 und 5 dieses Gesetzes treten am 21. März 2018 in Kraft.</w:t>
      </w:r>
    </w:p>
    <w:p>
      <w:r>
        <w:rPr>
          <w:color w:val="555555"/>
          <w:sz w:val="17"/>
        </w:rPr>
        <w:t xml:space="preserve">Zitiervorschlag: § 6 SeilbDG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https://recht.nulegal.eu/gesetze/SeilbDG/6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