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SeilbDG — Strafvorschriften</w:t>
      </w:r>
    </w:p>
    <w:p>
      <w:r>
        <w:rPr>
          <w:color w:val="555555"/>
          <w:sz w:val="18"/>
        </w:rPr>
        <w:t xml:space="preserve">Seilbahndurchführungsgesetz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eine in § 4 Absatz 1 Nummer 2, 4, 9, 14 oder Nummer 21 Buchstabe a bezeichnete vorsätzliche Handlung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5 SeilbDG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