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SeilbDG — Sprache</w:t>
      </w:r>
    </w:p>
    <w:p>
      <w:r>
        <w:rPr>
          <w:color w:val="555555"/>
          <w:sz w:val="18"/>
        </w:rPr>
        <w:t xml:space="preserve">Seilbahndurchführungsgesetz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nach Artikel 11 Absatz 6 Satz 3, Absatz 7 Satz 1 und Absatz 9 Satz 1, Artikel 13 Absatz 3 Satz 2, Absatz 4 und Absatz 9 Satz 1, Artikel 14 Absatz 2 Satz 1 sowie Artikel 19 Absatz 2 Satz 2 der Verordnung (EU) 2016/424 zu verwendende Sprache ist Deutsch.</w:t>
      </w:r>
    </w:p>
    <w:p>
      <w:r>
        <w:rPr>
          <w:color w:val="555555"/>
          <w:sz w:val="17"/>
        </w:rPr>
        <w:t xml:space="preserve">Zitiervorschlag: § 3 SeilbDG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https://recht.nulegal.eu/gesetze/SeilbDG/3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