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SeilbDG — Marktüberwachung</w:t>
      </w:r>
    </w:p>
    <w:p>
      <w:r>
        <w:rPr>
          <w:color w:val="555555"/>
          <w:sz w:val="18"/>
        </w:rPr>
        <w:t xml:space="preserve">Seilbahndurchführungsgesetz</w:t>
      </w:r>
    </w:p>
    <w:p>
      <w:r>
        <w:rPr>
          <w:color w:val="555555"/>
          <w:sz w:val="18"/>
        </w:rPr>
        <w:t xml:space="preserve">Stand: 04.08.2021 (konsolidierte Textfassung, kein amtliches Inkrafttretensdatum)</w:t>
      </w:r>
    </w:p>
    <w:p>
      <w:r>
        <w:t xml:space="preserve">(1) Auf die Marktüberwachung sind die §§ 4, 6, 7, 8 Absatz 2, 3 und 4, die §§ 9, 18 des Marktüberwachungsgesetzes entsprechend anzuwenden.</w:t>
      </w:r>
    </w:p>
    <w:p>
      <w:r>
        <w:t xml:space="preserve">(2) Die Marktüberwachungsbehörden leiten Mitteilungen zum Zweck der Unterrichtung der Europäischen Kommission nach Artikel 40 Absatz 2, 4 und 6, Artikel 41 Absatz 2 sowie Artikel 42 Absatz 3 der Verordnung (EU) 2016/424 über die Bundesanstalt für Arbeitsschutz und Arbeitsmedizin der Europäischen Kommission und den übrigen Mitgliedstaaten zu. Diese Mitteilungen sind zugleich dem Bundesministerium für Verkehr und digitale Infrastruktur zuzuleiten.</w:t>
      </w:r>
    </w:p>
    <w:p>
      <w:r>
        <w:t xml:space="preserve">(3) Wird die Bundesanstalt für Arbeitsschutz und Arbeitsmedizin nach Artikel 40 Absatz 2, 4 und 6, Artikel 41 Absatz 1 sowie Artikel 42 Absatz 3 und 4 der Verordnung (EU) 2016/424 von der Europäischen Kommission oder den Marktüberwachungsbehörden der übrigen Mitgliedstaaten unterrichtet, leitet sie diese Mitteilungen an die zuständigen Marktüberwachungsbehörden und das Bundesministerium für Verkehr und digitale Infrastruktur weiter.</w:t>
      </w:r>
    </w:p>
    <w:p>
      <w:r>
        <w:rPr>
          <w:color w:val="555555"/>
          <w:sz w:val="17"/>
        </w:rPr>
        <w:t xml:space="preserve">Zitiervorschlag: § 2 SeilbDG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https://recht.nulegal.eu/gesetze/SeilbDG/2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