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SeilMstrV — Inkrafttreten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August 1997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