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SeilMstrV — Prüfung der fachtheoretischen Kenntnisse (Teil II)</w:t>
      </w:r>
    </w:p>
    <w:p>
      <w:r>
        <w:rPr>
          <w:color w:val="555555"/>
          <w:sz w:val="18"/>
        </w:rPr>
        <w:t xml:space="preserve">Seilermeisterverordnung</w:t>
      </w:r>
    </w:p>
    <w:p>
      <w:r>
        <w:rPr>
          <w:color w:val="555555"/>
          <w:sz w:val="18"/>
        </w:rPr>
        <w:t xml:space="preserve">Stand: 10.06.2019 (konsolidierte Textfassung, kein amtliches Inkrafttretensdatum)</w:t>
      </w:r>
    </w:p>
    <w:p>
      <w:r>
        <w:t xml:space="preserve">(1) In Teil II sind Kenntnisse in den folgenden vier Prüfungsfächern nachzuweisen:</w:t>
      </w:r>
    </w:p>
    <w:p>
      <w:pPr>
        <w:ind w:left="420"/>
      </w:pPr>
      <w:r>
        <w:t xml:space="preserve">1. Technische Mathematik:</w:t>
      </w:r>
    </w:p>
    <w:p>
      <w:pPr>
        <w:ind w:left="780"/>
      </w:pPr>
      <w:r>
        <w:t xml:space="preserve">a) Durchmesser- und Gewichtsberechnungen von Schnüren, Leinen und Seilen,</w:t>
      </w:r>
    </w:p>
    <w:p>
      <w:pPr>
        <w:ind w:left="780"/>
      </w:pPr>
      <w:r>
        <w:t xml:space="preserve">b) Durchmesser-, Gewichts- und Schlaglängenberechnungen von Drahtseilen,</w:t>
      </w:r>
    </w:p>
    <w:p>
      <w:pPr>
        <w:ind w:left="780"/>
      </w:pPr>
      <w:r>
        <w:t xml:space="preserve">c) Festigkeitsberechnungen von Seilen aus Faser und Draht;</w:t>
      </w:r>
    </w:p>
    <w:p>
      <w:pPr>
        <w:ind w:left="420"/>
      </w:pPr>
      <w:r>
        <w:t xml:space="preserve">2. Fachtechnologie:</w:t>
      </w:r>
    </w:p>
    <w:p>
      <w:pPr>
        <w:ind w:left="780"/>
      </w:pPr>
      <w:r>
        <w:t xml:space="preserve">a) berufsbezogene Werkzeuge, Geräte und Maschinen, insbesondere Spinn-, Schlag- und Antriebsmaschinen sowie Reckvorrichtungen,</w:t>
      </w:r>
    </w:p>
    <w:p>
      <w:pPr>
        <w:ind w:left="780"/>
      </w:pPr>
      <w:r>
        <w:t xml:space="preserve">b) Arbeitsverfahren,</w:t>
      </w:r>
    </w:p>
    <w:p>
      <w:pPr>
        <w:ind w:left="780"/>
      </w:pPr>
      <w:r>
        <w:t xml:space="preserve">c) berufsbezogene Vorschriften der Arbeitssicherheit und des Arbeitsschutzes,</w:t>
      </w:r>
    </w:p>
    <w:p>
      <w:pPr>
        <w:ind w:left="780"/>
      </w:pPr>
      <w:r>
        <w:t xml:space="preserve">d) berufsbezogene Normen, Lauflängenbezeichnungen, Brandschutz sowie berufsbezogene Vorschriften des Umwelt-, insbesondere des Immissionsschutzes;</w:t>
      </w:r>
    </w:p>
    <w:p>
      <w:pPr>
        <w:ind w:left="420"/>
      </w:pPr>
      <w:r>
        <w:t xml:space="preserve">3. Werkstoffkunde:Arten, Eigenschaften, Bezeichnungen, Verwendung, Verarbeitung, Lagerung und Entsorgung der berufsbezogenen Roh-, Werks- und Hilfsstoffe;</w:t>
      </w:r>
    </w:p>
    <w:p>
      <w:pPr>
        <w:ind w:left="420"/>
      </w:pPr>
      <w:r>
        <w:t xml:space="preserve">4.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SeilMstrV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