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SeilAusbV 2008 — Struktur der Berufsausbildung</w:t>
      </w:r>
    </w:p>
    <w:p>
      <w:r>
        <w:rPr>
          <w:color w:val="555555"/>
          <w:sz w:val="18"/>
        </w:rPr>
        <w:t xml:space="preserve">Seiler-Ausbildungsverordnung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gliedert sich in gemeinsame Ausbildungsinhalte und die Ausbildung in einen der Schwerpunkte Seilherstellung, Seilkonfektion oder Netzkonfektion.</w:t>
      </w:r>
    </w:p>
    <w:p>
      <w:r>
        <w:rPr>
          <w:color w:val="555555"/>
          <w:sz w:val="17"/>
        </w:rPr>
        <w:t xml:space="preserve">Zitiervorschlag: § 3 SeilAusbV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https://recht.nulegal.eu/gesetze/SeilAusbV%202008/3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