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SeilAusbV 2008 — Staatliche Anerkennung des Ausbildungsberufes</w:t>
      </w:r>
    </w:p>
    <w:p>
      <w:r>
        <w:rPr>
          <w:color w:val="555555"/>
          <w:sz w:val="18"/>
        </w:rPr>
        <w:t xml:space="preserve">Seiler-Ausbildungsverordnung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Seiler/Seilerin wird nach § 25 der Handwerksordnung zur Ausbildung für das Gewerbe Nummer 29, Seiler, der Anlage A der Handwerksordnung staatlich anerkannt.</w:t>
      </w:r>
    </w:p>
    <w:p>
      <w:r>
        <w:rPr>
          <w:color w:val="555555"/>
          <w:sz w:val="17"/>
        </w:rPr>
        <w:t xml:space="preserve">Zitiervorschlag: § 1 SeilAusbV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https://recht.nulegal.eu/gesetze/SeilAusbV%202008/1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SeilAusbV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