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SegelmMstrV — Prüfung der fachtheoretischen Kenntnisse (Teil II)</w:t>
      </w:r>
    </w:p>
    <w:p>
      <w:r>
        <w:rPr>
          <w:color w:val="555555"/>
          <w:sz w:val="18"/>
        </w:rPr>
        <w:t xml:space="preserve">Segelmachermeisterverordnung</w:t>
      </w:r>
    </w:p>
    <w:p>
      <w:r>
        <w:rPr>
          <w:color w:val="555555"/>
          <w:sz w:val="18"/>
        </w:rPr>
        <w:t xml:space="preserve">Stand: 10.06.2019 (konsolidierte Textfassung, kein amtliches Inkrafttretensdatum)</w:t>
      </w:r>
    </w:p>
    <w:p>
      <w:r>
        <w:t xml:space="preserve">(1) In Teil II sind Kenntnisse in den folgenden vier Prüfungsfächern nachzuweisen:</w:t>
      </w:r>
    </w:p>
    <w:p>
      <w:pPr>
        <w:ind w:left="420"/>
      </w:pPr>
      <w:r>
        <w:t xml:space="preserve">1. Technische Mathematik und Technisches Zeichnen:</w:t>
      </w:r>
    </w:p>
    <w:p>
      <w:pPr>
        <w:ind w:left="780"/>
      </w:pPr>
      <w:r>
        <w:t xml:space="preserve">a) Berechnen der Mengen und Maße der Werk- und Hilfsstoffe,</w:t>
      </w:r>
    </w:p>
    <w:p>
      <w:pPr>
        <w:ind w:left="780"/>
      </w:pPr>
      <w:r>
        <w:t xml:space="preserve">b) Anfertigen von Werkzeichnungen;</w:t>
      </w:r>
    </w:p>
    <w:p>
      <w:pPr>
        <w:ind w:left="420"/>
      </w:pPr>
      <w:r>
        <w:t xml:space="preserve">2. Fachtechnologie:</w:t>
      </w:r>
    </w:p>
    <w:p>
      <w:pPr>
        <w:ind w:left="780"/>
      </w:pPr>
      <w:r>
        <w:t xml:space="preserve">a) segeltechnische Gegebenheiten,</w:t>
      </w:r>
    </w:p>
    <w:p>
      <w:pPr>
        <w:ind w:left="780"/>
      </w:pPr>
      <w:r>
        <w:t xml:space="preserve">b) Zuordnung der Segel zu Bootsklassen,</w:t>
      </w:r>
    </w:p>
    <w:p>
      <w:pPr>
        <w:ind w:left="780"/>
      </w:pPr>
      <w:r>
        <w:t xml:space="preserve">c) Funktionsweise von mechanischen, hydraulischen, pneumatischen und elektrischen Antriebsmaschinen und Geräten einschließlich elektronischer Steuerungen,</w:t>
      </w:r>
    </w:p>
    <w:p>
      <w:pPr>
        <w:ind w:left="780"/>
      </w:pPr>
      <w:r>
        <w:t xml:space="preserve">d) Schneide-, Näh-, Schweiß- und Klebeverfahren,</w:t>
      </w:r>
    </w:p>
    <w:p>
      <w:pPr>
        <w:ind w:left="780"/>
      </w:pPr>
      <w:r>
        <w:t xml:space="preserve">e) Herstellungstechniken in der Einzel- und Serienfertigung einschließlich des Einsatzes von rechnergestützten Geräten,</w:t>
      </w:r>
    </w:p>
    <w:p>
      <w:pPr>
        <w:ind w:left="780"/>
      </w:pPr>
      <w:r>
        <w:t xml:space="preserve">f) Entwicklung von Fertigungsabläufen,</w:t>
      </w:r>
    </w:p>
    <w:p>
      <w:pPr>
        <w:ind w:left="780"/>
      </w:pPr>
      <w:r>
        <w:t xml:space="preserve">g) Gütebestimmungen,</w:t>
      </w:r>
    </w:p>
    <w:p>
      <w:pPr>
        <w:ind w:left="780"/>
      </w:pPr>
      <w:r>
        <w:t xml:space="preserve">h) berufsbezogene Vorschriften der Arbeitssicherheit und des Arbeitsschutzes;</w:t>
      </w:r>
    </w:p>
    <w:p>
      <w:pPr>
        <w:ind w:left="420"/>
      </w:pPr>
      <w:r>
        <w:t xml:space="preserve">3. Werkstoffkunde:Arten, Herstellung, Eigenschaften, Lagerung, Verwendung und Verarbeitung der Werk- und Hilfsstoffe und ihre Entsorgung;</w:t>
      </w:r>
    </w:p>
    <w:p>
      <w:pPr>
        <w:ind w:left="420"/>
      </w:pPr>
      <w:r>
        <w:t xml:space="preserve">4. Kalkulation:Kostenermittlung unter Einbeziehung aller für die Preisbildung wesentlichen Faktoren einschließlich der Berechnungen für die Angebots- und Nachkalkulation.</w:t>
      </w:r>
    </w:p>
    <w:p>
      <w:r>
        <w:t xml:space="preserve">(2) Die Prüfung ist schriftlich und mündlich durchzuführen.</w:t>
      </w:r>
    </w:p>
    <w:p>
      <w:r>
        <w:t xml:space="preserve">(3) Die schriftliche Prüfung soll insgesamt nicht länger als zehn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2 und 3.</w:t>
      </w:r>
    </w:p>
    <w:p>
      <w:r>
        <w:rPr>
          <w:color w:val="555555"/>
          <w:sz w:val="17"/>
        </w:rPr>
        <w:t xml:space="preserve">Zitiervorschlag: § 5 SegelmMstrV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