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SegelmMstrV — Arbeitsprobe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 auszuführen:</w:t>
      </w:r>
    </w:p>
    <w:p>
      <w:pPr>
        <w:ind w:left="420"/>
      </w:pPr>
      <w:r>
        <w:t xml:space="preserve">1. Anfertigen eines Bezuges nach vorgegebenen Maßen, genäht oder geschweißt,</w:t>
      </w:r>
    </w:p>
    <w:p>
      <w:pPr>
        <w:ind w:left="420"/>
      </w:pPr>
      <w:r>
        <w:t xml:space="preserve">2. Anfertigen einer Schotecke mit Laegelstecken und Einsetzen der Laegelkausch,</w:t>
      </w:r>
    </w:p>
    <w:p>
      <w:pPr>
        <w:ind w:left="420"/>
      </w:pPr>
      <w:r>
        <w:t xml:space="preserve">3. Anfertigen einer Ecke mit Halsenspleiß,</w:t>
      </w:r>
    </w:p>
    <w:p>
      <w:pPr>
        <w:ind w:left="420"/>
      </w:pPr>
      <w:r>
        <w:t xml:space="preserve">4. Anfertigen einer Kopfecke mit Drahtspleiß, Einnähen des Auges und Einsetzen der Spitzkausch,</w:t>
      </w:r>
    </w:p>
    <w:p>
      <w:pPr>
        <w:ind w:left="420"/>
      </w:pPr>
      <w:r>
        <w:t xml:space="preserve">5. Anfertigen eines Reffs im Segel eines Schiffes älterer oder historischer Bauart einschließlich Setzen von Klodjes,</w:t>
      </w:r>
    </w:p>
    <w:p>
      <w:pPr>
        <w:ind w:left="420"/>
      </w:pPr>
      <w:r>
        <w:t xml:space="preserve">6. Aufreißen eines Head- oder Triradial-Spinnakers,</w:t>
      </w:r>
    </w:p>
    <w:p>
      <w:pPr>
        <w:ind w:left="420"/>
      </w:pPr>
      <w:r>
        <w:t xml:space="preserve">7. Anfertigen eines Treibankeraufrisses,</w:t>
      </w:r>
    </w:p>
    <w:p>
      <w:pPr>
        <w:ind w:left="420"/>
      </w:pPr>
      <w:r>
        <w:t xml:space="preserve">8. Anfertigen eines Aufrisses eines Groß- und Vorsegels in verschiedenen Schnittformen,</w:t>
      </w:r>
    </w:p>
    <w:p>
      <w:pPr>
        <w:ind w:left="420"/>
      </w:pPr>
      <w:r>
        <w:t xml:space="preserve">9. Anfertigen von Draht- und Tauspleißen.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