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SegelmAusbV — Gewichtungs- und Bestehensregelung</w:t>
      </w:r>
    </w:p>
    <w:p>
      <w:r>
        <w:rPr>
          <w:color w:val="555555"/>
          <w:sz w:val="18"/>
        </w:rPr>
        <w:t xml:space="preserve">Verordnung über die Berufsausbildung zum Segelmacher und zur Segelmacherin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1.    Prüfungsbereich Arbeitsauftrag I    30 Prozent,</w:t>
      </w:r>
    </w:p>
    <w:p>
      <w:r>
        <w:rPr>
          <w:rFonts w:ascii="Courier New" w:hAnsi="Courier New"/>
          <w:sz w:val="17"/>
        </w:rPr>
        <w:t xml:space="preserve">2.    Prüfungsbereich Arbeitsauftrag II    40 Prozent,</w:t>
      </w:r>
    </w:p>
    <w:p>
      <w:r>
        <w:rPr>
          <w:rFonts w:ascii="Courier New" w:hAnsi="Courier New"/>
          <w:sz w:val="17"/>
        </w:rPr>
        <w:t xml:space="preserve">3.    Prüfungsbereich Planung und Fertigung    20 Prozent,</w:t>
      </w:r>
    </w:p>
    <w:p>
      <w:r>
        <w:rPr>
          <w:rFonts w:ascii="Courier New" w:hAnsi="Courier New"/>
          <w:sz w:val="17"/>
        </w:rPr>
        <w:t xml:space="preserve">4.    Prüfungsbereich Wirtschafts- und Sozialkunde    10 Prozent.</w:t>
      </w:r>
    </w:p>
    <w:p>
      <w:r>
        <w:t xml:space="preserve">(2) Die Gesellenprüfung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mit mindestens „ausreichend“ und</w:t>
      </w:r>
    </w:p>
    <w:p>
      <w:pPr>
        <w:ind w:left="420"/>
      </w:pPr>
      <w:r>
        <w:t xml:space="preserve">4.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8 SegelmAusbV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