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SeemGÄndG — Inkrafttreten</w:t>
      </w:r>
    </w:p>
    <w:p>
      <w:r>
        <w:rPr>
          <w:color w:val="555555"/>
          <w:sz w:val="18"/>
        </w:rPr>
        <w:t xml:space="preserve">Gesetz zur Änderung und Ergänzung des Seemannsgesetzes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Oktober 1961 in Kraft.</w:t>
      </w:r>
    </w:p>
    <w:p>
      <w:r>
        <w:rPr>
          <w:color w:val="555555"/>
          <w:sz w:val="17"/>
        </w:rPr>
        <w:t xml:space="preserve">Zitiervorschlag: Art 4 SeemGÄndG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https://recht.nulegal.eu/gesetze/SeemG%C3%84ndG/4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