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SeelotRevierV 1978</w:t>
      </w:r>
    </w:p>
    <w:p>
      <w:r>
        <w:rPr>
          <w:color w:val="555555"/>
          <w:sz w:val="18"/>
        </w:rPr>
        <w:t xml:space="preserve">Verordnung über das Seelotswesen außerhalb der Reviere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50 Abs. 2, der §§ 53 und 58 Abs. 1 Nr. 1 und 3 des Gesetzes über das Seelotswesen in der im Bundesgesetzblatt Teil III, Gliederungsnummer 9515-1, veröffentlichten bereinigten Fassung, zuletzt geändert durch Artikel 2 des Gesetzes vom 10. Mai 1978 (BGBl. I S. 613), wird verordnet:</w:t>
      </w:r>
    </w:p>
    <w:p>
      <w:r>
        <w:rPr>
          <w:color w:val="555555"/>
          <w:sz w:val="17"/>
        </w:rPr>
        <w:t xml:space="preserve">Zitiervorschlag: Eingangsformel SeelotRevierV 1978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https://recht.nulegal.eu/gesetze/SeelotRevierV%201978/eingangsformel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