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SeelotRevierV 1978</w:t>
      </w:r>
    </w:p>
    <w:p>
      <w:r>
        <w:rPr>
          <w:color w:val="555555"/>
          <w:sz w:val="18"/>
        </w:rPr>
        <w:t xml:space="preserve">Verordnung über das Seelotswesen außerhalb der Reviere</w:t>
      </w:r>
    </w:p>
    <w:p>
      <w:r>
        <w:rPr>
          <w:color w:val="555555"/>
          <w:sz w:val="18"/>
        </w:rPr>
        <w:t xml:space="preserve">Stand: 10.06.2019 (konsolidierte Textfassung, kein amtliches Inkrafttretensdatum)</w:t>
      </w:r>
    </w:p>
    <w:p>
      <w:r>
        <w:t xml:space="preserve">Vor dem Inkrafttreten dieser Verordnung erteilte Erlaubnisse zur gewerbsmäßigen Ausübung der Tätigkeit eines Seelotsen außerhalb der Reviere sowie vorher ausgestellte Ausweise für Überseelotsen bleiben gültig. Ein Umtausch der Ausweise ist möglich.</w:t>
      </w:r>
    </w:p>
    <w:p>
      <w:r>
        <w:rPr>
          <w:color w:val="555555"/>
          <w:sz w:val="17"/>
        </w:rPr>
        <w:t xml:space="preserve">Zitiervorschlag: § 7 SeelotRevierV 1978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https://recht.nulegal.eu/gesetze/SeelotRevierV%201978/7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