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Anhang EV SeelotG — Auszug aus EinigVtr Anlage I Kapitel XI Sachgebiet D Abschnitt III (BGBl. II 1990, 889, 1108)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tritt in dem in Artikel 3 des Vertrages genannten Gebiet mit folgenden Maßgaben in Kraft: 1. - 3. ...</w:t>
      </w:r>
    </w:p>
    <w:p>
      <w:pPr>
        <w:ind w:left="420"/>
      </w:pPr>
      <w:r>
        <w:t xml:space="preserve">4. Gesetz über das Seelotswesen in der Fassung der Bekanntmachung vom 13. September 1984 (BGBl. I S. 1213), zuletzt geändert durch Gesetz vom 16. Dezember 1986 (BGBl. I S. 2441),mit folgenden Maßgaben:</w:t>
      </w:r>
    </w:p>
    <w:p>
      <w:pPr>
        <w:ind w:left="780"/>
      </w:pPr>
      <w:r>
        <w:t xml:space="preserve">a) Die Grenzen der neuen Seelotsreviere nach § 5 Abs. 1, die Grenzen der neuen Fahrtgebiete nach § 43 Nr. 1 sowie die für die neuen Seelotsreviere geltenden Lotsabgaben und Lotsgelder nach § 45 Abs. 2 werden vom Bundesminister für Verkehr durch Bekanntmachung im Bundesanzeiger bestimmt.</w:t>
      </w:r>
    </w:p>
    <w:p>
      <w:pPr>
        <w:ind w:left="780"/>
      </w:pPr>
      <w:r>
        <w:t xml:space="preserve">b) Die nach den bisher geltenden Rechtsvorschriften der Deutschen Demokratischen Republik über das Lotswesen erteilten Lotsenzulassungen gelten als Bestallungen und Erlaubnisse nach diesem Gesetz.</w:t>
      </w:r>
    </w:p>
    <w:p>
      <w:pPr>
        <w:ind w:left="780"/>
      </w:pPr>
      <w:r>
        <w:t xml:space="preserve">c) Bei der Anwendung von § 45 Abs. 3 Satz 2 ist während eines Zeitraums von fünf Jahren nach Wirksamwerden des Beitritts das öffentliche Interesse an der Förderung des Verkehrs zu berücksichtigen.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https://recht.nulegal.eu/gesetze/SeelotG/anhang-ev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Anhang EV SeelotG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