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(1) Anträge auf Zulassung als Seelotsenanwärterin oder Seelotsenanwärter sind an die Aufsichtsbehörden zu richten.</w:t>
      </w:r>
    </w:p>
    <w:p>
      <w:r>
        <w:t xml:space="preserve">(2) Die Aufsichtsbehörden lassen mindestens jährlich im Benehmen mit den Lotsenbrüderschaften unter Berücksichtigung des Verkehrsaufkommens und der Personalstruktur die erforderliche Anzahl von Seelotsenanwärterinnen und Seelotsenanwärtern zu.</w:t>
      </w:r>
    </w:p>
    <w:p>
      <w:r>
        <w:rPr>
          <w:color w:val="555555"/>
          <w:sz w:val="17"/>
        </w:rPr>
        <w:t xml:space="preserve">Zitiervorschlag: § 8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