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SeelotG</w:t>
      </w:r>
    </w:p>
    <w:p>
      <w:r>
        <w:rPr>
          <w:color w:val="555555"/>
          <w:sz w:val="18"/>
        </w:rPr>
        <w:t xml:space="preserve">Seelotsgesetz</w:t>
      </w:r>
    </w:p>
    <w:p>
      <w:r>
        <w:rPr>
          <w:color w:val="555555"/>
          <w:sz w:val="18"/>
        </w:rPr>
        <w:t xml:space="preserve">Stand: 11.06.2021 (konsolidierte Textfassung, kein amtliches Inkrafttretensdatum)</w:t>
      </w:r>
    </w:p>
    <w:p>
      <w:r>
        <w:t xml:space="preserve">Eine Genehmigung zur Ausübung des Seelotsenberufes in der bis zum 30. November 2022 geltenden Fassung dieses Gesetzes gilt für Fahrtstrecken, die auf Grund der vom 1. Dezember 2022 an geltenden Fassung dieses Gesetzes zu Seelotsrevieren bestimmt werden, als Bestallung, im Übrigen als Erlaubnis im Sinne des Dritten Abschnitts fort.</w:t>
      </w:r>
    </w:p>
    <w:p>
      <w:r>
        <w:rPr>
          <w:color w:val="555555"/>
          <w:sz w:val="17"/>
        </w:rPr>
        <w:t xml:space="preserve">Zitiervorschlag: § 51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