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SeelotG</w:t>
      </w:r>
    </w:p>
    <w:p>
      <w:r>
        <w:rPr>
          <w:color w:val="555555"/>
          <w:sz w:val="18"/>
        </w:rPr>
        <w:t xml:space="preserve">Seelotsgesetz</w:t>
      </w:r>
    </w:p>
    <w:p>
      <w:r>
        <w:rPr>
          <w:color w:val="555555"/>
          <w:sz w:val="18"/>
        </w:rPr>
        <w:t xml:space="preserve">Stand: 11.06.2021 (konsolidierte Textfassung, kein amtliches Inkrafttretensdatum)</w:t>
      </w:r>
    </w:p>
    <w:p>
      <w:r>
        <w:t xml:space="preserve">Ist eine Ausbildung zur Seelotsin oder zum Seelotsen vor dem 1. Dezember 2022 begonnen worden, so wird sie nach der bis zum 30. November 2022 geltenden Fassung dieses Gesetzes abgeschlossen. Nach Abschluss der Ausbildung richtet sich die Bestallung der Seelotsenanwärterin oder des Seelotsenanwärters nach der bis zum 30. November 2022 geltenden Fassung dieses Gesetzes.</w:t>
      </w:r>
    </w:p>
    <w:p>
      <w:r>
        <w:rPr>
          <w:color w:val="555555"/>
          <w:sz w:val="17"/>
        </w:rPr>
        <w:t xml:space="preserve">Zitiervorschlag: § 50 SeelotG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https://recht.nulegal.eu/gesetze/SeelotG/50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