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(1) Das Bundesministerium für Verkehr und digitale Infrastruktur wird ermächtigt, nach Anhörung der Küstenländer und der Bundeslotsenkammer durch Rechtsverordnung (Lotsverordnung)</w:t>
      </w:r>
    </w:p>
    <w:p>
      <w:pPr>
        <w:ind w:left="420"/>
      </w:pPr>
      <w:r>
        <w:t xml:space="preserve">1. die Bereitstellung einheitlicher, ständiger Lotsendienste anzuordnen und die Seelotsreviere und ihre Grenzen zu bestimmen,</w:t>
      </w:r>
    </w:p>
    <w:p>
      <w:pPr>
        <w:ind w:left="420"/>
      </w:pPr>
      <w:r>
        <w:t xml:space="preserve">2. Seelotsreviere aufzuheben, zu vereinigen oder zu erweitern sowie die Einzelheiten der Auflösung, Vereinigung oder Erweiterung von Lotsenbrüderschaften zu regeln,</w:t>
      </w:r>
    </w:p>
    <w:p>
      <w:pPr>
        <w:ind w:left="420"/>
      </w:pPr>
      <w:r>
        <w:t xml:space="preserve">3. die Ordnung und Verwaltung der Seelotsreviere zu regeln,</w:t>
      </w:r>
    </w:p>
    <w:p>
      <w:pPr>
        <w:ind w:left="420"/>
      </w:pPr>
      <w:r>
        <w:t xml:space="preserve">4. Seelotsinnen und Seelotsen zu erlauben, ihre Tätigkeit über die Grenze des Seelotsreviers hinaus auszuüben, und</w:t>
      </w:r>
    </w:p>
    <w:p>
      <w:pPr>
        <w:ind w:left="420"/>
      </w:pPr>
      <w:r>
        <w:t xml:space="preserve">5. die Voraussetzungen festzulegen, unter denen Schiffe beim Befahren eines Seelotsreviers zur Annahme von Seelotsinnen und Seelotsen verpflichtet sind.</w:t>
      </w:r>
    </w:p>
    <w:p>
      <w:r>
        <w:t xml:space="preserve">(2) Das Bundesministerium für Verkehr und digitale Infrastruktur kann durch Rechtsverordnung die Ermächtigung nach Absatz 1 auf die Aufsichtsbehörden übertragen.</w:t>
      </w:r>
    </w:p>
    <w:p>
      <w:r>
        <w:rPr>
          <w:color w:val="555555"/>
          <w:sz w:val="17"/>
        </w:rPr>
        <w:t xml:space="preserve">Zitiervorschlag: § 5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