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die Tätigkeit einer Seelotsin oder eines Seelotsen ohne Bestallung nach § 7 oder ohne Erlaubnis nach § 42 Abs. 1 ausübt,</w:t>
      </w:r>
    </w:p>
    <w:p>
      <w:pPr>
        <w:ind w:left="420"/>
      </w:pPr>
      <w:r>
        <w:t xml:space="preserve">2. entgegen § 23 Abs. 1 Satz 1 die Kapitänin oder den Kapitän nicht berät,</w:t>
      </w:r>
    </w:p>
    <w:p>
      <w:pPr>
        <w:ind w:left="420"/>
      </w:pPr>
      <w:r>
        <w:t xml:space="preserve">2a. entgegen § 23 Abs. 4 die Lotstätigkeit ausübt, obwohl sie oder er infolge körperlicher oder geistiger Mängel oder des Genusses alkoholischer Getränke oder anderer berauschender Mittel in der sicheren Ausübung der Beratung behindert ist,</w:t>
      </w:r>
    </w:p>
    <w:p>
      <w:pPr>
        <w:ind w:left="420"/>
      </w:pPr>
      <w:r>
        <w:t xml:space="preserve">2b. entgegen § 23 Absatz 5 ein dort genanntes Getränk oder Mittel zu sich nimmt oder unter der Wirkung eines solchen Getränks oder Mittels steht,</w:t>
      </w:r>
    </w:p>
    <w:p>
      <w:pPr>
        <w:ind w:left="420"/>
      </w:pPr>
      <w:r>
        <w:t xml:space="preserve">3. entgegen § 24 Abs. 1 die Lotstätigkeit während der vorgeschriebenen Dauer nicht ausübt,</w:t>
      </w:r>
    </w:p>
    <w:p>
      <w:pPr>
        <w:ind w:left="420"/>
      </w:pPr>
      <w:r>
        <w:t xml:space="preserve">4. entgegen § 25 Abs. 2 Satz 1 sich der gebotenen technischen Hilfsmittel nicht bedient,</w:t>
      </w:r>
    </w:p>
    <w:p>
      <w:pPr>
        <w:ind w:left="420"/>
      </w:pPr>
      <w:r>
        <w:t xml:space="preserve">5. einer Mitteilungs-, Berichts-, Auskunfts- oder Unterrichtungspflicht nach § 26 Abs. 1 oder Abs. 2 zuwiderhandelt,</w:t>
      </w:r>
    </w:p>
    <w:p>
      <w:pPr>
        <w:ind w:left="420"/>
      </w:pPr>
      <w:r>
        <w:t xml:space="preserve">6. entgegen § 45 Abs. 5 andere als die durch Lotstarifverordnung festgesetzten Lotsgelder fordert, sich versprechen läßt oder annimmt oder</w:t>
      </w:r>
    </w:p>
    <w:p>
      <w:pPr>
        <w:ind w:left="420"/>
      </w:pPr>
      <w:r>
        <w:t xml:space="preserve">7. einer Rechtsverordnung nach § 4 Nr. 4 oder Nr. 5, § 5 Abs. 1 Nr. 3 oder 5 oder § 43 Nr. 3 oder 5 oder einer vollziehbaren Auflage auf Grund einer Rechtsverordnung nach § 43 Nr. 3 zuwiderhandelt, soweit die Rechtsverordnung für einen bestimmten Tatbestand auf diese Bußgeldvorschrift verweist.</w:t>
      </w:r>
    </w:p>
    <w:p>
      <w:r>
        <w:t xml:space="preserve">(2) Absatz 1 Nr. 2 bis 5 gilt nach Maßgabe des § 42 Abs. 3 auch für Seelotsinnen und Seelotsen außerhalb eines Seelotsreviers.</w:t>
      </w:r>
    </w:p>
    <w:p>
      <w:r>
        <w:t xml:space="preserve">(3) Die Ordnungswidrigkeit kann mit einer Geldbuße bis zu fünftausend Euro geahndet werden.</w:t>
      </w:r>
    </w:p>
    <w:p>
      <w:r>
        <w:rPr>
          <w:color w:val="555555"/>
          <w:sz w:val="17"/>
        </w:rPr>
        <w:t xml:space="preserve">Zitiervorschlag: § 47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