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SeelotG</w:t>
      </w:r>
    </w:p>
    <w:p>
      <w:r>
        <w:rPr>
          <w:color w:val="555555"/>
          <w:sz w:val="18"/>
        </w:rPr>
        <w:t xml:space="preserve">Seelotsgesetz</w:t>
      </w:r>
    </w:p>
    <w:p>
      <w:r>
        <w:rPr>
          <w:color w:val="555555"/>
          <w:sz w:val="18"/>
        </w:rPr>
        <w:t xml:space="preserve">Stand: 11.06.2021 (konsolidierte Textfassung, kein amtliches Inkrafttretensdatum)</w:t>
      </w:r>
    </w:p>
    <w:p>
      <w:r>
        <w:t xml:space="preserve">(1) Wer außerhalb eines Seelotsreviers die Tätigkeit einer Seelotsin oder eines Seelotsen ausüben will, bedarf einer Erlaubnis.</w:t>
      </w:r>
    </w:p>
    <w:p>
      <w:r>
        <w:t xml:space="preserve">(2) Die Erlaubnis kann von der Aufsichtsbehörde auf Antrag erteilt werden, wenn die Antragstellerin oder der Antragsteller</w:t>
      </w:r>
    </w:p>
    <w:p>
      <w:pPr>
        <w:ind w:left="420"/>
      </w:pPr>
      <w:r>
        <w:t xml:space="preserve">1. die Voraussetzungen des § 9 Absatz 1 und 2 erfüllt oder eine Bestallung nach § 11 nachgewiesen wird,</w:t>
      </w:r>
    </w:p>
    <w:p>
      <w:pPr>
        <w:ind w:left="420"/>
      </w:pPr>
      <w:r>
        <w:t xml:space="preserve">2. unter 60 Jahren alt ist,</w:t>
      </w:r>
    </w:p>
    <w:p>
      <w:pPr>
        <w:ind w:left="420"/>
      </w:pPr>
      <w:r>
        <w:t xml:space="preserve">3. ausreichende praktische Erfahrungen sowie theoretische Kenntnisse für das Fahrtgebiet nachweist, in dem die Tätigkeit ausgeübt werden soll, und</w:t>
      </w:r>
    </w:p>
    <w:p>
      <w:pPr>
        <w:ind w:left="420"/>
      </w:pPr>
      <w:r>
        <w:t xml:space="preserve">4. eine Prüfung vor der Aufsichtsbehörde besteht.</w:t>
      </w:r>
    </w:p>
    <w:p>
      <w:r>
        <w:t xml:space="preserve">(3) § 11 sowie die §§ 13 bis 17 und § 20 Abs. 1 und 2 Satz 1 sind auf die Erlaubnis, § 21 Absatz 3 auf die Haftung und die §§ 22 bis 24 Abs. 1 sowie die §§ 25 und 26 auf die Pflichten der Seelotsin oder des Seelotsen entsprechend anzuwenden. § 8 Abs. 2 gilt mit der Maßgabe entsprechend, daß die Zulassung von Überseelotsinnen und Überseelotsen im Benehmen mit den betreffenden regionalen Vereinigungen der Überseelotsinnen und Überseelotsen erfolgt, die Vereinbarungen im Sinne des § 44 geschlossen haben.</w:t>
      </w:r>
    </w:p>
    <w:p>
      <w:r>
        <w:t xml:space="preserve">(4) Die Erlaubnis erlischt mit Ende des Monats, in dem die Seelotsin oder der Seelotse das fünfundsechzigste Lebensjahr vollendet.</w:t>
      </w:r>
    </w:p>
    <w:p>
      <w:r>
        <w:t xml:space="preserve">(5) Die Erlaubnis gilt weiter, auch wenn das Fahrtgebiet, für das sie erteilt worden ist, Seelotsrevier oder Teil eines Seelotsreviers wird.</w:t>
      </w:r>
    </w:p>
    <w:p>
      <w:r>
        <w:rPr>
          <w:color w:val="555555"/>
          <w:sz w:val="17"/>
        </w:rPr>
        <w:t xml:space="preserve">Zitiervorschlag: § 42 SeelotG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https://recht.nulegal.eu/gesetze/SeelotG/42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