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SeelotG</w:t>
      </w:r>
    </w:p>
    <w:p>
      <w:r>
        <w:rPr>
          <w:color w:val="555555"/>
          <w:sz w:val="18"/>
        </w:rPr>
        <w:t xml:space="preserve">Seelotsgesetz</w:t>
      </w:r>
    </w:p>
    <w:p>
      <w:r>
        <w:rPr>
          <w:color w:val="555555"/>
          <w:sz w:val="18"/>
        </w:rPr>
        <w:t xml:space="preserve">Stand: 01.12.2022 (konsolidierte Textfassung, kein amtliches Inkrafttretensdatum)</w:t>
      </w:r>
    </w:p>
    <w:p>
      <w:r>
        <w:t xml:space="preserve">Das Bundesministerium für Verkehr und digitale Infrastruktur wird ermächtigt, durch Rechtsverordnung</w:t>
      </w:r>
    </w:p>
    <w:p>
      <w:pPr>
        <w:ind w:left="420"/>
      </w:pPr>
      <w:r>
        <w:t xml:space="preserve">1. die Erteilung von Lotsenausweisen zu regeln,</w:t>
      </w:r>
    </w:p>
    <w:p>
      <w:pPr>
        <w:ind w:left="420"/>
      </w:pPr>
      <w:r>
        <w:t xml:space="preserve">2. zur Regelung der Untersuchungen zur Seelotseignung Folgendes festzulegen:</w:t>
      </w:r>
    </w:p>
    <w:p>
      <w:pPr>
        <w:ind w:left="780"/>
      </w:pPr>
      <w:r>
        <w:t xml:space="preserve">a) die näheren Anforderungen an die gesundheitliche Eignung für den Beruf der Seelotsin oder des Seelotsen,</w:t>
      </w:r>
    </w:p>
    <w:p>
      <w:pPr>
        <w:ind w:left="780"/>
      </w:pPr>
      <w:r>
        <w:t xml:space="preserve">b) die Durchführung und den Umfang der Untersuchungen zur Seelotseignung,</w:t>
      </w:r>
    </w:p>
    <w:p>
      <w:pPr>
        <w:ind w:left="780"/>
      </w:pPr>
      <w:r>
        <w:t xml:space="preserve">c) die Ausgestaltung des Seelotseignungszeugnisses,</w:t>
      </w:r>
    </w:p>
    <w:p>
      <w:pPr>
        <w:ind w:left="780"/>
      </w:pPr>
      <w:r>
        <w:t xml:space="preserve">d) die näheren Voraussetzungen für die Zulassung und Überwachung von Ärztinnen und Ärzten zur Durchführung von Untersuchungen zur Seelotseignung,</w:t>
      </w:r>
    </w:p>
    <w:p>
      <w:pPr>
        <w:ind w:left="780"/>
      </w:pPr>
      <w:r>
        <w:t xml:space="preserve">e) die Anforderungen an die Fortbildung der zugelassenen Ärztinnen und Ärzte,</w:t>
      </w:r>
    </w:p>
    <w:p>
      <w:pPr>
        <w:ind w:left="780"/>
      </w:pPr>
      <w:r>
        <w:t xml:space="preserve">f) die Einzelheiten der technischen Datenverarbeitung aus dem Seelotseignungsverzeichnis,</w:t>
      </w:r>
    </w:p>
    <w:p>
      <w:pPr>
        <w:ind w:left="780"/>
      </w:pPr>
      <w:r>
        <w:t xml:space="preserve">g) die Kosten der Untersuchungen zur Seelotseignung und deren Übernahme sowie das jeweilige Verfahren,</w:t>
      </w:r>
    </w:p>
    <w:p>
      <w:pPr>
        <w:ind w:left="420"/>
      </w:pPr>
      <w:r>
        <w:t xml:space="preserve">3. den Umfang der vorgeschriebenen Ausbildung und Prüfungen, das Verfahren bei Abnahme der Prüfungen und bei Erstattung der in § 20 Absatz 3 Satz 2 näher bezeichneten, für die Finanzierung der Ausbildung erforderlichen Kosten wegen Abbruchs der Ausbildung oder wegen vorzeitigen Verzichts auf die Bestallung festzulegen,</w:t>
      </w:r>
    </w:p>
    <w:p>
      <w:pPr>
        <w:ind w:left="420"/>
      </w:pPr>
      <w:r>
        <w:t xml:space="preserve">4. Art und Umfang der Weiterbildung der Seelotsinnen und Seelotsen zur laufenden Ergänzung der für die Lotstätigkeit notwendigen Kenntnisse zu bestimmen,</w:t>
      </w:r>
    </w:p>
    <w:p>
      <w:pPr>
        <w:ind w:left="420"/>
      </w:pPr>
      <w:r>
        <w:t xml:space="preserve">5. das Verfahren, wie die Schiffsführung eine Seelotsin oder einen Seelotsen anfordern muß, festzulegen.</w:t>
      </w:r>
    </w:p>
    <w:p>
      <w:r>
        <w:rPr>
          <w:color w:val="555555"/>
          <w:sz w:val="17"/>
        </w:rPr>
        <w:t xml:space="preserve">Zitiervorschlag: § 4 SeelotG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https://recht.nulegal.eu/gesetze/SeelotG/4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