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Angelegenheiten der Bundeslotsenkammer werden, soweit sie nicht vom Vorsitzenden oder einem anderen satzungsgemäß berufenen Vertreter zu besorgen sind, durch Beschluß der Mitglieder geordnet.</w:t>
      </w:r>
    </w:p>
    <w:p>
      <w:r>
        <w:t xml:space="preserve">(2) Der Vorsitzende ist in der Mitgliederversammlung stimmberechtigt. Bei Stimmengleichheit gibt seine Stimme den Ausschlag.</w:t>
      </w:r>
    </w:p>
    <w:p>
      <w:r>
        <w:t xml:space="preserve">(3) Die Vorschriften des § 33 sind auf die Mitglieder der Bundeslotsenkammer sinngemäß anzuwenden.</w:t>
      </w:r>
    </w:p>
    <w:p>
      <w:r>
        <w:rPr>
          <w:color w:val="555555"/>
          <w:sz w:val="17"/>
        </w:rPr>
        <w:t xml:space="preserve">Zitiervorschlag: § 39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