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Bundeslotsenkammer sind der Vorsitzende und die Mitgliederversammlung.</w:t>
      </w:r>
    </w:p>
    <w:p>
      <w:r>
        <w:t xml:space="preserve">(2) Die Lotsenbrüderschaften werden in der Mitgliederversammlung durch ihre Ältermänner vertreten. Jede Lotsenbrüderschaft hat mindestens eine Stimme; Lotsenbrüderschaften mit mehr als einhundert Mitgliedern haben zwei Stimmen und Lotsenbrüderschaften mit mehr als zweihundert Mitgliedern haben drei Stimmen.</w:t>
      </w:r>
    </w:p>
    <w:p>
      <w:r>
        <w:t xml:space="preserve">(3) Die Satzung kann vorsehen, daß neben dem Vorsitzenden für bestimmte Angelegenheiten besondere Beauftragte zu bestellen sind.</w:t>
      </w:r>
    </w:p>
    <w:p>
      <w:r>
        <w:rPr>
          <w:color w:val="555555"/>
          <w:sz w:val="17"/>
        </w:rPr>
        <w:t xml:space="preserve">Zitiervorschlag: § 37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