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 SeelotG</w:t>
      </w:r>
    </w:p>
    <w:p>
      <w:r>
        <w:rPr>
          <w:color w:val="555555"/>
          <w:sz w:val="18"/>
        </w:rPr>
        <w:t xml:space="preserve">Seelotsgesetz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Lotsenbrüderschaften bilden die Bundeslotsenkammer. Die Bundeslotsenkammer ist eine Körperschaft des öffentlichen Rechts; ihren Sitz bestimmt die Mitgliederversammlung.</w:t>
      </w:r>
    </w:p>
    <w:p>
      <w:r>
        <w:t xml:space="preserve">(2) Das Bundesministerium für Verkehr und digitale Infrastruktur führt die Aufsicht über die Bundeslotsenkammer. Die Fachaufsicht der Aufsichtsbehörden nach § 6 Abs. 3 bleibt unberührt.</w:t>
      </w:r>
    </w:p>
    <w:p>
      <w:r>
        <w:rPr>
          <w:color w:val="555555"/>
          <w:sz w:val="17"/>
        </w:rPr>
        <w:t xml:space="preserve">Zitiervorschlag: § 34 SeelotG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https://recht.nulegal.eu/gesetze/SeelotG/34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