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SeelotG</w:t>
      </w:r>
    </w:p>
    <w:p>
      <w:r>
        <w:rPr>
          <w:color w:val="555555"/>
          <w:sz w:val="18"/>
        </w:rPr>
        <w:t xml:space="preserve">Seelotsgesetz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Einrichtung und Unterhaltung des Seelotswesens sowie die Aufsicht über das Seelotswesen sind Aufgaben des Bundes.</w:t>
      </w:r>
    </w:p>
    <w:p>
      <w:r>
        <w:t xml:space="preserve">(2) Die Selbstverwaltung des Seelotswesens in den Seelotsrevieren obliegt den Lotsenbrüderschaften (§ 27) und der Bundeslotsenkammer (§ 34 Abs. 1).</w:t>
      </w:r>
    </w:p>
    <w:p>
      <w:r>
        <w:t xml:space="preserve">(3) Das Bundesministerium für Verkehr und digitale Infrastruktur wird ermächtigt, durch Rechtsverordnung Behörden der Wasserstraßen- und Schifffahrtsverwaltung des Bundes als Aufsichtsbehörden zu bestimmen.</w:t>
      </w:r>
    </w:p>
    <w:p>
      <w:r>
        <w:rPr>
          <w:color w:val="555555"/>
          <w:sz w:val="17"/>
        </w:rPr>
        <w:t xml:space="preserve">Zitiervorschlag: § 3 SeelotG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https://recht.nulegal.eu/gesetze/SeelotG/3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