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(1) Die für ein Seelotsrevier bestallten Seelotsinnen und Seelotsen bilden eine Lotsenbrüderschaft. Die Lotsenbrüderschaft ist eine Körperschaft des öffentlichen Rechts.</w:t>
      </w:r>
    </w:p>
    <w:p>
      <w:r>
        <w:t xml:space="preserve">(2) Die Lotsenbrüderschaft hat die ihr durch Gesetz oder Verordnung übertragenen Aufgaben zu erfüllen. Sie hat im Rahmen ihrer Selbstverwaltung die Belange des Seelotsreviers zu wahren und zu fördern.</w:t>
      </w:r>
    </w:p>
    <w:p>
      <w:r>
        <w:t xml:space="preserve">(3) Die Ausgaben der Lotsenbrüderschaft werden von den Mitgliedern anteilmäßig getragen.</w:t>
      </w:r>
    </w:p>
    <w:p>
      <w:r>
        <w:rPr>
          <w:color w:val="555555"/>
          <w:sz w:val="17"/>
        </w:rPr>
        <w:t xml:space="preserve">Zitiervorschlag: § 27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