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SeelotG</w:t>
      </w:r>
    </w:p>
    <w:p>
      <w:r>
        <w:rPr>
          <w:color w:val="555555"/>
          <w:sz w:val="18"/>
        </w:rPr>
        <w:t xml:space="preserve">Seelotsgesetz</w:t>
      </w:r>
    </w:p>
    <w:p>
      <w:r>
        <w:rPr>
          <w:color w:val="555555"/>
          <w:sz w:val="18"/>
        </w:rPr>
        <w:t xml:space="preserve">Stand: 11.06.2021 (konsolidierte Textfassung, kein amtliches Inkrafttretensdatum)</w:t>
      </w:r>
    </w:p>
    <w:p>
      <w:r>
        <w:t xml:space="preserve">(1) Die Seelotsin und der Seelotse haben die Kapitänin oder den Kapitän bei der Führung des Schiffes zu beraten. Die Beratung kann auch von einem anderen Schiff oder von Land aus erfolgen.</w:t>
      </w:r>
    </w:p>
    <w:p>
      <w:r>
        <w:t xml:space="preserve">(2) Für die Führung des Schiffes bleibt die Kapitänin oder der Kapitän auch dann verantwortlich, wenn sie oder er selbstständige Anordnungen der Seelotsin oder des Seelotsen hinsichtlich der Führung des Schiffes zulässt.</w:t>
      </w:r>
    </w:p>
    <w:p>
      <w:r>
        <w:t xml:space="preserve">(3) Werden mehrere Seelotsinnen oder Seelotsen tätig, so wird die Kapitänin oder der Kapitän nur durch eine oder einen von ihnen beraten, die übrigen Seelotsinnen oder Seelotsen unterstützen sie oder ihn dabei. Vor Aufnahme der Tätigkeit ist der Kapitänin oder dem Kapitän mitzuteilen, wer als beratende Seelotsin oder als beratender Seelotse tätig wird.</w:t>
      </w:r>
    </w:p>
    <w:p>
      <w:r>
        <w:t xml:space="preserve">(4) Die Seelotsin und der Seelotse dürfen die Lotstätigkeit nicht ausüben, wenn sie infolge gesundheitlicher Mängel oder des Genusses alkoholischer Getränke oder anderer berauschender Mittel in der sicheren Ausübung der Beratung behindert sind.</w:t>
      </w:r>
    </w:p>
    <w:p>
      <w:r>
        <w:t xml:space="preserve">(5) Die Seelotsin und der Seelotse dürfen während der Beratung alkoholische Getränke oder andere berauschende Mittel nicht zu sich nehmen und nicht unter der Wirkung solcher Getränke oder Mittel stehen.</w:t>
      </w:r>
    </w:p>
    <w:p>
      <w:r>
        <w:rPr>
          <w:color w:val="555555"/>
          <w:sz w:val="17"/>
        </w:rPr>
        <w:t xml:space="preserve">Zitiervorschlag: § 23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