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ein Seelotsrevier aufgehoben, so sind die für dieses Seelotsrevier geltenden Bestallungen zu widerrufen und dafür auf Antrag Erlaubnisse nach § 42 zu erteilen.</w:t>
      </w:r>
    </w:p>
    <w:p>
      <w:r>
        <w:t xml:space="preserve">(2) Werden mehrere Seelotsreviere zu einem Seelotsrevier vereinigt, so gelten die für die einzelnen Seelotsreviere erteilten Bestallungen für das neue Seelotsrevier.</w:t>
      </w:r>
    </w:p>
    <w:p>
      <w:r>
        <w:rPr>
          <w:color w:val="555555"/>
          <w:sz w:val="17"/>
        </w:rPr>
        <w:t xml:space="preserve">Zitiervorschlag: § 19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