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SeelotG</w:t>
      </w:r>
    </w:p>
    <w:p>
      <w:r>
        <w:rPr>
          <w:color w:val="555555"/>
          <w:sz w:val="18"/>
        </w:rPr>
        <w:t xml:space="preserve">Seelotsgesetz</w:t>
      </w:r>
    </w:p>
    <w:p>
      <w:r>
        <w:rPr>
          <w:color w:val="555555"/>
          <w:sz w:val="18"/>
        </w:rPr>
        <w:t xml:space="preserve">Stand: 01.01.2025 (konsolidierte Textfassung, kein amtliches Inkrafttretensdatum)</w:t>
      </w:r>
    </w:p>
    <w:p>
      <w:r>
        <w:t xml:space="preserve">(1) Wird ein in § 9 Absatz 2 Nummer 1 oder Absatz 4 Nummer 1 oder 2 genanntes Befähigungszeugnis von der zuständigen Behörde für eine bestimmte Zeit vorübergehend entzogen, ruhend gestellt oder vorläufig sichergestellt, so ist der Inhaberin oder dem Inhaber die Berufsausübung als Seelotsin oder Seelotse nach Anhörung der Bundeslotsenkammer von der Aufsichtsbehörde vorübergehend zu untersagen. Die Dauer der Untersagung durch die Aufsichtsbehörde muss dem Zeitraum des Ruhens oder der Sicherstellung entsprechen.</w:t>
      </w:r>
    </w:p>
    <w:p>
      <w:r>
        <w:t xml:space="preserve">(2) Wird durch eine Seelotseignungsuntersuchung festgestellt, dass eine Seelotsin oder ein Seelotse oder eine Seelotsenanwärterin oder ein Seelotsenanwärter vorübergehend nicht die erforderliche Seelotseignung besitzt, so hat die Aufsichtsbehörde ihr oder ihm die Berufsausübung zu untersagen, bis die Eignung durch ein Seelotseignungszeugnis nachgewiesen ist.</w:t>
      </w:r>
    </w:p>
    <w:p>
      <w:r>
        <w:rPr>
          <w:color w:val="555555"/>
          <w:sz w:val="17"/>
        </w:rPr>
        <w:t xml:space="preserve">Zitiervorschlag: § 16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