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SeelotG</w:t>
      </w:r>
    </w:p>
    <w:p>
      <w:r>
        <w:rPr>
          <w:color w:val="555555"/>
          <w:sz w:val="18"/>
        </w:rPr>
        <w:t xml:space="preserve">Seelotsgesetz</w:t>
      </w:r>
    </w:p>
    <w:p>
      <w:r>
        <w:rPr>
          <w:color w:val="555555"/>
          <w:sz w:val="18"/>
        </w:rPr>
        <w:t xml:space="preserve">Stand: 01.12.2022 (konsolidierte Textfassung, kein amtliches Inkrafttretensdatum)</w:t>
      </w:r>
    </w:p>
    <w:p>
      <w:r>
        <w:t xml:space="preserve">(1) Eignung und Zuverlässigkeit nach § 9 Absatz 1 Satz 1 müssen während der gesamten Dauer der Bestallung vorliegen. Nach bestandener Prüfung vor der Aufsichtsbehörde ist die Seelotsenanwärterin oder der Seelotsenanwärter von der Aufsichtsbehörde durch Aushändigung einer Urkunde zur Seelotsin oder zum Seelotsen zu bestallen. § 3a des Verwaltungsverfahrensgesetzes findet keine Anwendung.</w:t>
      </w:r>
    </w:p>
    <w:p>
      <w:r>
        <w:t xml:space="preserve">(2) Seelotsenanwärterinnen und Seelotsenanwärter, die die Ausbildung nach § 9 Absatz 4 begonnen haben, müssen vor der Bestallung den Masterabschluss der Fachrichtung Seelotswesen nachweisen.</w:t>
      </w:r>
    </w:p>
    <w:p>
      <w:r>
        <w:t xml:space="preserve">(3) Bei der Bestallung ist die Seelotsin oder der Seelotse durch die Aufsichtsbehörde auf die gewissenhafte Ausübung ihres oder seines Berufes zu verpflichten. Im Falle wiederholter Sorgfaltspflichtverletzungen kann die Aufsichtsbehörde gegenüber der Seelotsin oder dem Seelotsen auf deren oder dessen Kosten geeignete Fortbildungsmaßnahmen anordnen, um weitere Pflichtverletzungen zu verhindern.</w:t>
      </w:r>
    </w:p>
    <w:p>
      <w:r>
        <w:rPr>
          <w:color w:val="555555"/>
          <w:sz w:val="17"/>
        </w:rPr>
        <w:t xml:space="preserve">Zitiervorschlag: § 11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