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01.12.2022 (konsolidierte Textfassung, kein amtliches Inkrafttretensdatum)</w:t>
      </w:r>
    </w:p>
    <w:p>
      <w:r>
        <w:t xml:space="preserve">Die Seelotsenanwärterin oder der Seelotsenanwärter hat sich der für das Seelotsrevier vorgeschriebenen Ausbildung und den Prüfungen nach den Vorgaben einer auf Grund des § 4 Nummer 3 erlassenen Rechtsverordnung zu unterziehen.</w:t>
      </w:r>
    </w:p>
    <w:p>
      <w:r>
        <w:rPr>
          <w:color w:val="555555"/>
          <w:sz w:val="17"/>
        </w:rPr>
        <w:t xml:space="preserve">Zitiervorschlag: § 10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